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22AD1" w14:textId="77777777" w:rsidR="00F44C80" w:rsidRDefault="00AC6887" w:rsidP="00F44C80">
      <w:pPr>
        <w:jc w:val="center"/>
      </w:pPr>
      <w:r>
        <w:t xml:space="preserve">IAORC Process - </w:t>
      </w:r>
      <w:r w:rsidR="00F44C80">
        <w:t xml:space="preserve">Obtaining Human Derived Material for Research </w:t>
      </w:r>
    </w:p>
    <w:p w14:paraId="0D013EA4" w14:textId="77777777" w:rsidR="00F44C80" w:rsidRPr="000A157B" w:rsidRDefault="00F44C80" w:rsidP="00F44C80">
      <w:pPr>
        <w:jc w:val="center"/>
      </w:pPr>
      <w:r>
        <w:t>Overview of Responsibilities and Procedures</w:t>
      </w:r>
      <w:r w:rsidR="000A157B">
        <w:rPr>
          <w:vertAlign w:val="superscript"/>
        </w:rPr>
        <w:t>1</w:t>
      </w:r>
    </w:p>
    <w:p w14:paraId="03CCD238" w14:textId="2BE4287A" w:rsidR="004A4709" w:rsidRDefault="00F44C80" w:rsidP="00F44C80">
      <w:pPr>
        <w:jc w:val="center"/>
      </w:pPr>
      <w:r>
        <w:t xml:space="preserve">(Office of Academic and Research Affairs </w:t>
      </w:r>
      <w:r w:rsidR="00CF3865">
        <w:t>–</w:t>
      </w:r>
      <w:r>
        <w:t xml:space="preserve"> </w:t>
      </w:r>
      <w:r w:rsidR="00CF3865">
        <w:t>March 7</w:t>
      </w:r>
      <w:r>
        <w:t>, 201</w:t>
      </w:r>
      <w:r w:rsidR="00CF3865">
        <w:t>6</w:t>
      </w:r>
      <w:r>
        <w:t xml:space="preserve">) </w:t>
      </w:r>
    </w:p>
    <w:p w14:paraId="63A95ED9" w14:textId="77777777" w:rsidR="00F44C80" w:rsidRDefault="00F44C80" w:rsidP="00F44C80">
      <w:pPr>
        <w:jc w:val="center"/>
      </w:pPr>
    </w:p>
    <w:p w14:paraId="73A8A015" w14:textId="77777777" w:rsidR="00F44C80" w:rsidRDefault="00F44C80" w:rsidP="00F44C80"/>
    <w:p w14:paraId="271240D0" w14:textId="77777777" w:rsidR="00F44C80" w:rsidRPr="00E2733A" w:rsidRDefault="00F44C80" w:rsidP="00F44C80">
      <w:pPr>
        <w:rPr>
          <w:b/>
        </w:rPr>
      </w:pPr>
      <w:r w:rsidRPr="00E2733A">
        <w:rPr>
          <w:b/>
        </w:rPr>
        <w:t>I.  Samples Obtained from Research Subjects</w:t>
      </w:r>
    </w:p>
    <w:p w14:paraId="024D36B8" w14:textId="77777777" w:rsidR="00F44C80" w:rsidRDefault="00F44C80" w:rsidP="00F44C80"/>
    <w:p w14:paraId="6738EB70" w14:textId="77777777" w:rsidR="00F44C80" w:rsidRDefault="00F44C80" w:rsidP="00F44C80">
      <w:r>
        <w:t xml:space="preserve">All research involving </w:t>
      </w:r>
      <w:r w:rsidR="00A002A5">
        <w:t>human derived material (e.g., tissues, biopsies, fluids, etc.) obtained from</w:t>
      </w:r>
      <w:r w:rsidR="00E2733A">
        <w:t xml:space="preserve"> living  </w:t>
      </w:r>
      <w:r w:rsidR="00A002A5">
        <w:t xml:space="preserve"> </w:t>
      </w:r>
      <w:r w:rsidR="00E2733A">
        <w:t>research</w:t>
      </w:r>
      <w:r>
        <w:t xml:space="preserve"> subjects must be reviewed and approved in advance by the Committee for the Protection of Human Subjects</w:t>
      </w:r>
      <w:r w:rsidR="00E2733A">
        <w:t xml:space="preserve"> (CPHS)</w:t>
      </w:r>
      <w:r>
        <w:t xml:space="preserve">.  </w:t>
      </w:r>
      <w:r w:rsidR="00A002A5">
        <w:t>This includes de-identified samples obtained by UTHealth investigators</w:t>
      </w:r>
      <w:r w:rsidR="00E2733A">
        <w:t xml:space="preserve"> </w:t>
      </w:r>
      <w:r w:rsidR="00093899">
        <w:t>from</w:t>
      </w:r>
      <w:r w:rsidR="00E2733A">
        <w:t xml:space="preserve"> any location</w:t>
      </w:r>
      <w:r w:rsidR="00A002A5">
        <w:t xml:space="preserve"> </w:t>
      </w:r>
      <w:r w:rsidR="00E2733A">
        <w:t>as well as</w:t>
      </w:r>
      <w:r w:rsidR="00A002A5">
        <w:t xml:space="preserve"> </w:t>
      </w:r>
      <w:r w:rsidR="00E2733A">
        <w:t xml:space="preserve">samples obtained from </w:t>
      </w:r>
      <w:r w:rsidR="00A002A5">
        <w:t>collaborators at other institutions</w:t>
      </w:r>
      <w:r w:rsidR="00E2733A">
        <w:t xml:space="preserve"> </w:t>
      </w:r>
      <w:r w:rsidR="00093899">
        <w:t xml:space="preserve">who initially obtained the material </w:t>
      </w:r>
      <w:r w:rsidR="00E2733A">
        <w:t>(</w:t>
      </w:r>
      <w:r w:rsidR="00E2733A" w:rsidRPr="00E2733A">
        <w:rPr>
          <w:i/>
        </w:rPr>
        <w:t>link to HOOP 200 – Review of Research</w:t>
      </w:r>
      <w:r w:rsidR="00E2733A">
        <w:t>)</w:t>
      </w:r>
      <w:r w:rsidR="00A002A5">
        <w:t>.</w:t>
      </w:r>
      <w:r w:rsidR="00E2733A">
        <w:t xml:space="preserve">  Investigators should contact the CPHS Office for further information </w:t>
      </w:r>
      <w:r w:rsidR="00BB4BFC">
        <w:t xml:space="preserve">on obtaining and using such samples in research </w:t>
      </w:r>
      <w:r w:rsidR="00E2733A">
        <w:t>(</w:t>
      </w:r>
      <w:hyperlink r:id="rId8" w:history="1">
        <w:r w:rsidR="00E2733A" w:rsidRPr="00691033">
          <w:rPr>
            <w:rStyle w:val="Hyperlink"/>
          </w:rPr>
          <w:t>http://www.uth.edu/CPHS/</w:t>
        </w:r>
      </w:hyperlink>
      <w:r w:rsidR="00E2733A">
        <w:t xml:space="preserve">). </w:t>
      </w:r>
    </w:p>
    <w:p w14:paraId="0DAD032E" w14:textId="77777777" w:rsidR="0096307D" w:rsidRDefault="0096307D" w:rsidP="00F44C80"/>
    <w:p w14:paraId="415FBDDF" w14:textId="77777777" w:rsidR="0096307D" w:rsidRDefault="0096307D" w:rsidP="00F44C80">
      <w:r w:rsidRPr="009F025B">
        <w:t xml:space="preserve">Certain material obtained from living subjects for research or educational purposes with proper approval may be identifiable as being of human origin by a layperson (e.g., a limb obtained by amputation, bones from a hip replacement, etc.).  Such material must be disposed of in an appropriate and respectful manner after the research or educational use is finished.  </w:t>
      </w:r>
      <w:r w:rsidR="000C23B5" w:rsidRPr="009F025B">
        <w:t>When appropriate, IRB protocols should stipulate that a</w:t>
      </w:r>
      <w:r w:rsidRPr="009F025B">
        <w:t>ny such material should be transferred to the UTHealth Human Structure Facility for proper disposal in a timely manner after the research or educational use is completed.</w:t>
      </w:r>
      <w:r>
        <w:t xml:space="preserve"> </w:t>
      </w:r>
    </w:p>
    <w:p w14:paraId="1103FCC4" w14:textId="77777777" w:rsidR="00E2733A" w:rsidRDefault="00E2733A" w:rsidP="00F44C80"/>
    <w:p w14:paraId="61049C21" w14:textId="77777777" w:rsidR="00E2733A" w:rsidRDefault="00E2733A" w:rsidP="00F44C80">
      <w:r w:rsidRPr="00E2733A">
        <w:rPr>
          <w:b/>
        </w:rPr>
        <w:t>II</w:t>
      </w:r>
      <w:proofErr w:type="gramStart"/>
      <w:r w:rsidRPr="00E2733A">
        <w:rPr>
          <w:b/>
        </w:rPr>
        <w:t>.  Anatomical</w:t>
      </w:r>
      <w:proofErr w:type="gramEnd"/>
      <w:r w:rsidRPr="00E2733A">
        <w:rPr>
          <w:b/>
        </w:rPr>
        <w:t xml:space="preserve"> Specimens</w:t>
      </w:r>
    </w:p>
    <w:p w14:paraId="08E68F49" w14:textId="77777777" w:rsidR="00E2733A" w:rsidRDefault="00E2733A" w:rsidP="00F44C80"/>
    <w:p w14:paraId="10138936" w14:textId="77777777" w:rsidR="000C23B5" w:rsidRDefault="00E2733A" w:rsidP="00F44C80">
      <w:r>
        <w:t>Anatomical specimens are</w:t>
      </w:r>
      <w:r w:rsidR="00BB4BFC">
        <w:t xml:space="preserve"> defined as</w:t>
      </w:r>
      <w:r>
        <w:t xml:space="preserve"> body parts, including bones and viscera</w:t>
      </w:r>
      <w:r w:rsidR="00BB4BFC">
        <w:t>, obtained from deceased human bodies or surgical specimens.  Small quantities of tissues and histological sections that would not be recognizable to a layperson as derived from human body parts are not considered anatomical specimens</w:t>
      </w:r>
      <w:r w:rsidR="000F70A0">
        <w:t xml:space="preserve"> (see </w:t>
      </w:r>
      <w:r w:rsidR="000F70A0" w:rsidRPr="000F70A0">
        <w:rPr>
          <w:i/>
        </w:rPr>
        <w:t>HOOP 97 – Deceased Human Bodies and Anatomical Specimens</w:t>
      </w:r>
      <w:r w:rsidR="000F70A0">
        <w:t>)</w:t>
      </w:r>
      <w:r w:rsidR="00BB4BFC">
        <w:t xml:space="preserve">.  </w:t>
      </w:r>
    </w:p>
    <w:p w14:paraId="58839E1A" w14:textId="77777777" w:rsidR="000C23B5" w:rsidRDefault="000C23B5" w:rsidP="00F44C80"/>
    <w:p w14:paraId="4C554235" w14:textId="369D8B86" w:rsidR="006971DE" w:rsidRDefault="000F70A0" w:rsidP="00F44C80">
      <w:r>
        <w:t xml:space="preserve">All requests to </w:t>
      </w:r>
      <w:r w:rsidR="006971DE">
        <w:t>obtain and use a</w:t>
      </w:r>
      <w:r>
        <w:t>natomical specimens for research must be reviewed and approved by the Director of the Human Structure Facility</w:t>
      </w:r>
      <w:r w:rsidR="000A157B">
        <w:t xml:space="preserve"> (</w:t>
      </w:r>
      <w:r w:rsidR="000A157B" w:rsidRPr="009F025B">
        <w:t>see</w:t>
      </w:r>
      <w:bookmarkStart w:id="0" w:name="_GoBack"/>
      <w:bookmarkEnd w:id="0"/>
      <w:r w:rsidR="00CD7379">
        <w:rPr>
          <w:color w:val="1F497D"/>
        </w:rPr>
        <w:t xml:space="preserve">:  </w:t>
      </w:r>
      <w:hyperlink r:id="rId9" w:history="1">
        <w:r w:rsidR="00CD7379">
          <w:rPr>
            <w:rStyle w:val="Hyperlink"/>
          </w:rPr>
          <w:t>https://med.uth.edu/nba/willed-body-program/iaorc/</w:t>
        </w:r>
      </w:hyperlink>
      <w:r w:rsidR="000A157B">
        <w:t>)</w:t>
      </w:r>
      <w:r>
        <w:t xml:space="preserve">.  </w:t>
      </w:r>
      <w:r w:rsidR="006971DE">
        <w:t xml:space="preserve">This includes specimens to be obtained from the university’s Willed Body Program, from surgical procedures or autopsies performed by UTHealth physicians, and from other universities or organizations.   </w:t>
      </w:r>
    </w:p>
    <w:p w14:paraId="7DD9C145" w14:textId="77777777" w:rsidR="006971DE" w:rsidRDefault="006971DE" w:rsidP="00F44C80"/>
    <w:p w14:paraId="25D861FD" w14:textId="77777777" w:rsidR="000A1887" w:rsidRDefault="006971DE" w:rsidP="00F44C80">
      <w:r>
        <w:t>If requests are approved</w:t>
      </w:r>
      <w:r w:rsidR="00DF01C2">
        <w:t>,</w:t>
      </w:r>
      <w:r>
        <w:t xml:space="preserve"> the Director of the Human Structure Facility will arrange for specimens to be obtained from the Willed Body Program or </w:t>
      </w:r>
      <w:r w:rsidR="000A1887">
        <w:t xml:space="preserve">instruct investigators how to </w:t>
      </w:r>
      <w:r>
        <w:t xml:space="preserve">request specimens from the Pathology Department or other appropriate non-UTHealth source.  </w:t>
      </w:r>
      <w:r w:rsidR="00093899">
        <w:t>Approval by the Director of the Human Structure Facility is required, but additional approval(s) may also be required (</w:t>
      </w:r>
      <w:r w:rsidR="00093899" w:rsidRPr="00093899">
        <w:rPr>
          <w:i/>
        </w:rPr>
        <w:t>vide infra</w:t>
      </w:r>
      <w:r w:rsidR="00093899">
        <w:t xml:space="preserve">). </w:t>
      </w:r>
    </w:p>
    <w:p w14:paraId="7933EC5E" w14:textId="77777777" w:rsidR="000A1887" w:rsidRDefault="000A1887" w:rsidP="00F44C80"/>
    <w:p w14:paraId="57FFBA99" w14:textId="32BB1C12" w:rsidR="000C23B5" w:rsidRDefault="006971DE" w:rsidP="00F44C80">
      <w:r>
        <w:t xml:space="preserve">Specimens </w:t>
      </w:r>
      <w:r w:rsidR="000A1887">
        <w:t>provided by</w:t>
      </w:r>
      <w:r>
        <w:t xml:space="preserve"> Pathology or outside source</w:t>
      </w:r>
      <w:r w:rsidR="000A1887">
        <w:t xml:space="preserve">s </w:t>
      </w:r>
      <w:r w:rsidR="00312E90">
        <w:t>should</w:t>
      </w:r>
      <w:r w:rsidR="000A1887">
        <w:t xml:space="preserve"> be sent </w:t>
      </w:r>
      <w:r w:rsidR="00400652">
        <w:t xml:space="preserve">directly </w:t>
      </w:r>
      <w:r w:rsidR="000A1887">
        <w:t xml:space="preserve">to the Human Structure Facility for administrative log in and </w:t>
      </w:r>
      <w:r w:rsidR="00312E90">
        <w:t xml:space="preserve">records </w:t>
      </w:r>
      <w:r w:rsidR="000A1887">
        <w:t xml:space="preserve">processing </w:t>
      </w:r>
      <w:r w:rsidR="003A3457">
        <w:t>before</w:t>
      </w:r>
      <w:r w:rsidR="000A1887">
        <w:t xml:space="preserve"> deliver</w:t>
      </w:r>
      <w:r w:rsidR="003A3457">
        <w:t>y</w:t>
      </w:r>
      <w:r w:rsidR="000A1887">
        <w:t xml:space="preserve"> to the investigator.  In special circumstances, samples may be </w:t>
      </w:r>
      <w:r w:rsidR="00400652">
        <w:t>sent</w:t>
      </w:r>
      <w:r w:rsidR="000A1887">
        <w:t xml:space="preserve"> from the </w:t>
      </w:r>
      <w:r w:rsidR="00400652">
        <w:t>provider</w:t>
      </w:r>
      <w:r w:rsidR="000A1887">
        <w:t xml:space="preserve"> directly to the investigator if approved in advance by the Director of the Human Structure Facility. </w:t>
      </w:r>
    </w:p>
    <w:p w14:paraId="08A66184" w14:textId="77777777" w:rsidR="000C23B5" w:rsidRDefault="000C23B5" w:rsidP="00F44C80"/>
    <w:p w14:paraId="71F7C7F0" w14:textId="77777777" w:rsidR="000C23B5" w:rsidRPr="009F025B" w:rsidRDefault="000C23B5" w:rsidP="000C23B5">
      <w:pPr>
        <w:rPr>
          <w:b/>
        </w:rPr>
      </w:pPr>
      <w:r w:rsidRPr="009F025B">
        <w:rPr>
          <w:b/>
        </w:rPr>
        <w:t>III. Teeth Obtained from Dental Procedures</w:t>
      </w:r>
    </w:p>
    <w:p w14:paraId="49BE2ADD" w14:textId="77777777" w:rsidR="000C23B5" w:rsidRPr="009F025B" w:rsidRDefault="000C23B5" w:rsidP="000C23B5"/>
    <w:p w14:paraId="1F7F30AF" w14:textId="77777777" w:rsidR="000C23B5" w:rsidRPr="000C23B5" w:rsidRDefault="000C23B5" w:rsidP="000C23B5">
      <w:pPr>
        <w:shd w:val="clear" w:color="auto" w:fill="FFFFFF" w:themeFill="background1"/>
        <w:rPr>
          <w:rFonts w:ascii="Arial" w:eastAsia="Times New Roman" w:hAnsi="Arial" w:cs="Arial"/>
          <w:color w:val="222222"/>
          <w:sz w:val="19"/>
          <w:szCs w:val="19"/>
        </w:rPr>
      </w:pPr>
      <w:r w:rsidRPr="009F025B">
        <w:lastRenderedPageBreak/>
        <w:t xml:space="preserve">Teeth obtained from dental procedures are considered in a separate category (see </w:t>
      </w:r>
      <w:r w:rsidRPr="009F025B">
        <w:rPr>
          <w:i/>
        </w:rPr>
        <w:t>HOOP 97 – Deceased Human Bodies and Anatomical Specimens</w:t>
      </w:r>
      <w:r w:rsidRPr="009F025B">
        <w:t>, Section III. C.3).  HOOP 97 stipulates that a</w:t>
      </w:r>
      <w:r w:rsidRPr="009F025B">
        <w:rPr>
          <w:rFonts w:ascii="Arial" w:eastAsia="Times New Roman" w:hAnsi="Arial" w:cs="Arial"/>
          <w:color w:val="222222"/>
          <w:sz w:val="19"/>
          <w:szCs w:val="19"/>
        </w:rPr>
        <w:t>ll teeth acquired from dental procedures are to be received, recorded and dispensed through the Surgical Oral and Maxillofacial Pathology Laboratory and other appropriate venues of the School of Dentistry as determined by its Dean.</w:t>
      </w:r>
    </w:p>
    <w:p w14:paraId="6D7B7F97" w14:textId="77777777" w:rsidR="000C23B5" w:rsidRDefault="000C23B5" w:rsidP="000C23B5"/>
    <w:p w14:paraId="35DAB1C7" w14:textId="77777777" w:rsidR="00400652" w:rsidRDefault="00400652" w:rsidP="00F44C80">
      <w:r w:rsidRPr="00510722">
        <w:rPr>
          <w:b/>
        </w:rPr>
        <w:t>I</w:t>
      </w:r>
      <w:r w:rsidR="000C23B5">
        <w:rPr>
          <w:b/>
        </w:rPr>
        <w:t>V</w:t>
      </w:r>
      <w:r w:rsidRPr="00510722">
        <w:rPr>
          <w:b/>
        </w:rPr>
        <w:t>. Tissue Samples Derived from Autopsies</w:t>
      </w:r>
    </w:p>
    <w:p w14:paraId="21E2E4C1" w14:textId="77777777" w:rsidR="00E549FA" w:rsidRDefault="00E549FA" w:rsidP="00F44C80"/>
    <w:p w14:paraId="186E8234" w14:textId="5E40CDE1" w:rsidR="00E549FA" w:rsidRPr="00B74765" w:rsidRDefault="00E549FA" w:rsidP="00E549FA">
      <w:pPr>
        <w:rPr>
          <w:color w:val="1F497D"/>
        </w:rPr>
      </w:pPr>
      <w:r w:rsidRPr="00E549FA">
        <w:t xml:space="preserve">Research using </w:t>
      </w:r>
      <w:r w:rsidR="00D56CA8">
        <w:t xml:space="preserve">specimens obtained at </w:t>
      </w:r>
      <w:r w:rsidRPr="00E549FA">
        <w:t xml:space="preserve">autopsy must comply with </w:t>
      </w:r>
      <w:r w:rsidR="00DF01C2">
        <w:t>an</w:t>
      </w:r>
      <w:r>
        <w:t xml:space="preserve"> appropriate</w:t>
      </w:r>
      <w:r w:rsidRPr="00E549FA">
        <w:t xml:space="preserve"> Autopsy Consent </w:t>
      </w:r>
      <w:r w:rsidR="00207D9F">
        <w:t>F</w:t>
      </w:r>
      <w:r w:rsidRPr="00E549FA">
        <w:t>orm</w:t>
      </w:r>
      <w:r>
        <w:t xml:space="preserve"> </w:t>
      </w:r>
      <w:r w:rsidR="00207D9F" w:rsidRPr="009F025B">
        <w:t>(</w:t>
      </w:r>
      <w:hyperlink r:id="rId10" w:history="1">
        <w:r w:rsidR="00B74765">
          <w:rPr>
            <w:rStyle w:val="Hyperlink"/>
          </w:rPr>
          <w:t>https://med.uth.edu/pathology/files/2013/08/66466-Postmortem-Examination-or-Autopsy-Consent-Form.pdf</w:t>
        </w:r>
      </w:hyperlink>
      <w:r w:rsidR="00207D9F" w:rsidRPr="009F025B">
        <w:t>)</w:t>
      </w:r>
      <w:r w:rsidR="00207D9F">
        <w:t xml:space="preserve"> </w:t>
      </w:r>
      <w:r>
        <w:t>as determined by the Director of the Autopsy Service in the Pathology Department and relevant hospital</w:t>
      </w:r>
      <w:r w:rsidRPr="00E549FA">
        <w:t xml:space="preserve">, HIPAA and the IAORC </w:t>
      </w:r>
      <w:r w:rsidR="00DF01C2">
        <w:t xml:space="preserve">requirements (the latter </w:t>
      </w:r>
      <w:r>
        <w:t>as per section II</w:t>
      </w:r>
      <w:r w:rsidRPr="00E549FA">
        <w:t>.</w:t>
      </w:r>
      <w:r>
        <w:t xml:space="preserve"> </w:t>
      </w:r>
      <w:proofErr w:type="gramStart"/>
      <w:r>
        <w:t>Anatomical Specimens above.</w:t>
      </w:r>
      <w:r w:rsidR="00DF01C2">
        <w:t>)</w:t>
      </w:r>
      <w:proofErr w:type="gramEnd"/>
      <w:r w:rsidRPr="00E549FA">
        <w:t xml:space="preserve">  </w:t>
      </w:r>
      <w:r w:rsidRPr="00E549FA">
        <w:rPr>
          <w:bCs/>
        </w:rPr>
        <w:t xml:space="preserve">IRB </w:t>
      </w:r>
      <w:r>
        <w:rPr>
          <w:bCs/>
        </w:rPr>
        <w:t xml:space="preserve">approval is not necessary </w:t>
      </w:r>
      <w:r w:rsidR="003A3457">
        <w:rPr>
          <w:bCs/>
        </w:rPr>
        <w:t xml:space="preserve">because </w:t>
      </w:r>
      <w:r>
        <w:rPr>
          <w:bCs/>
        </w:rPr>
        <w:t xml:space="preserve">research </w:t>
      </w:r>
      <w:r w:rsidRPr="00E549FA">
        <w:rPr>
          <w:bCs/>
        </w:rPr>
        <w:t>on deceased persons</w:t>
      </w:r>
      <w:r>
        <w:rPr>
          <w:bCs/>
        </w:rPr>
        <w:t xml:space="preserve"> is not within the purview of an IRB</w:t>
      </w:r>
      <w:r w:rsidRPr="00E549FA">
        <w:rPr>
          <w:bCs/>
        </w:rPr>
        <w:t>.</w:t>
      </w:r>
      <w:r>
        <w:rPr>
          <w:bCs/>
        </w:rPr>
        <w:t xml:space="preserve">  </w:t>
      </w:r>
      <w:r w:rsidR="00B74765">
        <w:rPr>
          <w:bCs/>
        </w:rPr>
        <w:t>Acquisition and disposition of r</w:t>
      </w:r>
      <w:r>
        <w:rPr>
          <w:bCs/>
        </w:rPr>
        <w:t>ecog</w:t>
      </w:r>
      <w:r w:rsidR="00B74765">
        <w:rPr>
          <w:bCs/>
        </w:rPr>
        <w:t>nizable body parts must have IA</w:t>
      </w:r>
      <w:r>
        <w:rPr>
          <w:bCs/>
        </w:rPr>
        <w:t>O</w:t>
      </w:r>
      <w:r w:rsidR="00B74765">
        <w:rPr>
          <w:bCs/>
        </w:rPr>
        <w:t>R</w:t>
      </w:r>
      <w:r>
        <w:rPr>
          <w:bCs/>
        </w:rPr>
        <w:t>C approval</w:t>
      </w:r>
      <w:r w:rsidR="003A3457">
        <w:rPr>
          <w:bCs/>
        </w:rPr>
        <w:t>,</w:t>
      </w:r>
      <w:r>
        <w:rPr>
          <w:bCs/>
        </w:rPr>
        <w:t xml:space="preserve"> but small pieces of tissue unrecognizable as human organs or body parts </w:t>
      </w:r>
      <w:r w:rsidR="00DF01C2">
        <w:rPr>
          <w:bCs/>
        </w:rPr>
        <w:t xml:space="preserve">upon </w:t>
      </w:r>
      <w:r>
        <w:rPr>
          <w:bCs/>
        </w:rPr>
        <w:t>observation</w:t>
      </w:r>
      <w:r w:rsidR="00DF01C2">
        <w:rPr>
          <w:bCs/>
        </w:rPr>
        <w:t xml:space="preserve"> by a layperson</w:t>
      </w:r>
      <w:r>
        <w:rPr>
          <w:bCs/>
        </w:rPr>
        <w:t xml:space="preserve"> require neither IRB nor IAO</w:t>
      </w:r>
      <w:r w:rsidR="001B18EA">
        <w:rPr>
          <w:bCs/>
        </w:rPr>
        <w:t>R</w:t>
      </w:r>
      <w:r>
        <w:rPr>
          <w:bCs/>
        </w:rPr>
        <w:t xml:space="preserve">C approval.  Investigators are nevertheless strongly encouraged to contact the </w:t>
      </w:r>
      <w:r w:rsidR="00B84C45">
        <w:rPr>
          <w:bCs/>
        </w:rPr>
        <w:t xml:space="preserve">Director </w:t>
      </w:r>
      <w:r>
        <w:rPr>
          <w:bCs/>
        </w:rPr>
        <w:t xml:space="preserve">of the Human Structure Facility to confirm whether </w:t>
      </w:r>
      <w:r w:rsidR="00B84C45">
        <w:rPr>
          <w:bCs/>
        </w:rPr>
        <w:t xml:space="preserve">IAORC </w:t>
      </w:r>
      <w:r>
        <w:rPr>
          <w:bCs/>
        </w:rPr>
        <w:t xml:space="preserve">approval is required in a specific situation. </w:t>
      </w:r>
    </w:p>
    <w:p w14:paraId="6285C04F" w14:textId="77777777" w:rsidR="00314518" w:rsidRDefault="00314518" w:rsidP="00E549FA">
      <w:pPr>
        <w:rPr>
          <w:bCs/>
        </w:rPr>
      </w:pPr>
    </w:p>
    <w:p w14:paraId="402F721D" w14:textId="77777777" w:rsidR="00314518" w:rsidRDefault="00314518" w:rsidP="00E549FA">
      <w:pPr>
        <w:rPr>
          <w:bCs/>
        </w:rPr>
      </w:pPr>
      <w:r>
        <w:rPr>
          <w:bCs/>
        </w:rPr>
        <w:t xml:space="preserve">Investigators </w:t>
      </w:r>
      <w:r w:rsidR="00D56CA8">
        <w:rPr>
          <w:bCs/>
        </w:rPr>
        <w:t xml:space="preserve">requesting autopsy samples </w:t>
      </w:r>
      <w:r>
        <w:rPr>
          <w:bCs/>
        </w:rPr>
        <w:t>should provide the Director of the Autopsy Service</w:t>
      </w:r>
      <w:r w:rsidR="00D56CA8">
        <w:rPr>
          <w:bCs/>
        </w:rPr>
        <w:t xml:space="preserve"> with</w:t>
      </w:r>
      <w:r>
        <w:rPr>
          <w:bCs/>
        </w:rPr>
        <w:t xml:space="preserve"> the following information</w:t>
      </w:r>
    </w:p>
    <w:p w14:paraId="77398D16" w14:textId="77777777" w:rsidR="00E549FA" w:rsidRDefault="00E549FA" w:rsidP="00E549FA">
      <w:pPr>
        <w:rPr>
          <w:bCs/>
        </w:rPr>
      </w:pPr>
    </w:p>
    <w:p w14:paraId="75E67AED" w14:textId="772715E3" w:rsidR="00E549FA" w:rsidRPr="00E549FA" w:rsidRDefault="00314518" w:rsidP="00E549FA">
      <w:pPr>
        <w:numPr>
          <w:ilvl w:val="1"/>
          <w:numId w:val="1"/>
        </w:numPr>
        <w:rPr>
          <w:bCs/>
        </w:rPr>
      </w:pPr>
      <w:r>
        <w:rPr>
          <w:bCs/>
        </w:rPr>
        <w:t>A</w:t>
      </w:r>
      <w:r w:rsidR="00E549FA" w:rsidRPr="00E549FA">
        <w:rPr>
          <w:bCs/>
        </w:rPr>
        <w:t xml:space="preserve"> description of the research, </w:t>
      </w:r>
      <w:r w:rsidR="003A3457">
        <w:rPr>
          <w:bCs/>
        </w:rPr>
        <w:t xml:space="preserve">the </w:t>
      </w:r>
      <w:r w:rsidR="00E549FA" w:rsidRPr="00E549FA">
        <w:rPr>
          <w:bCs/>
        </w:rPr>
        <w:t>tissues needed</w:t>
      </w:r>
      <w:r w:rsidR="003A3457">
        <w:rPr>
          <w:bCs/>
        </w:rPr>
        <w:t>,</w:t>
      </w:r>
      <w:r w:rsidR="00E549FA" w:rsidRPr="00E549FA">
        <w:rPr>
          <w:bCs/>
        </w:rPr>
        <w:t xml:space="preserve"> including how they should be processed, and how patient confidentiality </w:t>
      </w:r>
      <w:r>
        <w:rPr>
          <w:bCs/>
        </w:rPr>
        <w:t xml:space="preserve">will be maintained and HIPPA requirements </w:t>
      </w:r>
      <w:r w:rsidR="00E549FA" w:rsidRPr="00E549FA">
        <w:rPr>
          <w:bCs/>
        </w:rPr>
        <w:t xml:space="preserve">will be </w:t>
      </w:r>
      <w:r>
        <w:rPr>
          <w:bCs/>
        </w:rPr>
        <w:t>met</w:t>
      </w:r>
      <w:r w:rsidR="00E549FA" w:rsidRPr="00E549FA">
        <w:rPr>
          <w:bCs/>
        </w:rPr>
        <w:t>.</w:t>
      </w:r>
    </w:p>
    <w:p w14:paraId="2606D2B5" w14:textId="77777777" w:rsidR="00E549FA" w:rsidRDefault="00314518" w:rsidP="00E549FA">
      <w:pPr>
        <w:numPr>
          <w:ilvl w:val="1"/>
          <w:numId w:val="1"/>
        </w:numPr>
        <w:rPr>
          <w:bCs/>
        </w:rPr>
      </w:pPr>
      <w:r>
        <w:rPr>
          <w:bCs/>
        </w:rPr>
        <w:t>IAORC approval as needed for recognizable body parts.</w:t>
      </w:r>
    </w:p>
    <w:p w14:paraId="6ECE1FED" w14:textId="77777777" w:rsidR="00314518" w:rsidRDefault="00314518" w:rsidP="00E549FA">
      <w:pPr>
        <w:numPr>
          <w:ilvl w:val="1"/>
          <w:numId w:val="1"/>
        </w:numPr>
        <w:rPr>
          <w:bCs/>
        </w:rPr>
      </w:pPr>
      <w:r>
        <w:rPr>
          <w:bCs/>
        </w:rPr>
        <w:t xml:space="preserve">Any other documents or materials the Director of the Autopsy Service determines are </w:t>
      </w:r>
      <w:r w:rsidR="00DF01C2">
        <w:rPr>
          <w:bCs/>
        </w:rPr>
        <w:t>necessary</w:t>
      </w:r>
      <w:r>
        <w:rPr>
          <w:bCs/>
        </w:rPr>
        <w:t xml:space="preserve">.  </w:t>
      </w:r>
    </w:p>
    <w:p w14:paraId="74ABAD72" w14:textId="77777777" w:rsidR="00314518" w:rsidRDefault="00314518" w:rsidP="00314518">
      <w:pPr>
        <w:rPr>
          <w:bCs/>
        </w:rPr>
      </w:pPr>
    </w:p>
    <w:p w14:paraId="7929F369" w14:textId="0A3F94A5" w:rsidR="00314518" w:rsidRDefault="00314518" w:rsidP="00314518">
      <w:pPr>
        <w:rPr>
          <w:bCs/>
        </w:rPr>
      </w:pPr>
      <w:r>
        <w:rPr>
          <w:bCs/>
        </w:rPr>
        <w:t xml:space="preserve">The documents will be reviewed by the Director of the Autopsy Service for compliance with applicable regulations, UTHealth, and hospital requirements.  If approved, the </w:t>
      </w:r>
      <w:proofErr w:type="spellStart"/>
      <w:r>
        <w:rPr>
          <w:bCs/>
        </w:rPr>
        <w:t>prosectors</w:t>
      </w:r>
      <w:proofErr w:type="spellEnd"/>
      <w:r>
        <w:rPr>
          <w:bCs/>
        </w:rPr>
        <w:t xml:space="preserve"> will be tasked with collecting the tissues and transferring to the investigator request</w:t>
      </w:r>
      <w:r w:rsidR="00DF01C2">
        <w:rPr>
          <w:bCs/>
        </w:rPr>
        <w:t>ing</w:t>
      </w:r>
      <w:r>
        <w:rPr>
          <w:bCs/>
        </w:rPr>
        <w:t xml:space="preserve"> the material</w:t>
      </w:r>
      <w:r w:rsidR="003A3457">
        <w:rPr>
          <w:bCs/>
        </w:rPr>
        <w:t>, or to the Human Structure Facility if required</w:t>
      </w:r>
      <w:r>
        <w:rPr>
          <w:bCs/>
        </w:rPr>
        <w:t xml:space="preserve">. </w:t>
      </w:r>
    </w:p>
    <w:p w14:paraId="596BECDE" w14:textId="77777777" w:rsidR="00314518" w:rsidRDefault="00314518" w:rsidP="00314518">
      <w:pPr>
        <w:rPr>
          <w:bCs/>
        </w:rPr>
      </w:pPr>
    </w:p>
    <w:p w14:paraId="1C6AE5E1" w14:textId="77777777" w:rsidR="00314518" w:rsidRDefault="00314518" w:rsidP="00314518">
      <w:pPr>
        <w:rPr>
          <w:bCs/>
        </w:rPr>
      </w:pPr>
      <w:r>
        <w:rPr>
          <w:bCs/>
        </w:rPr>
        <w:t>If analysis of samples by a pathologist is necessary as part of the research protocol, investigators should contact an appropriate Path</w:t>
      </w:r>
      <w:r w:rsidR="00D56CA8">
        <w:rPr>
          <w:bCs/>
        </w:rPr>
        <w:t>ology Department faculty member</w:t>
      </w:r>
      <w:r w:rsidR="00DF01C2">
        <w:rPr>
          <w:bCs/>
        </w:rPr>
        <w:t xml:space="preserve"> in advance to make needed arrangements</w:t>
      </w:r>
      <w:r w:rsidR="00D56CA8">
        <w:rPr>
          <w:bCs/>
        </w:rPr>
        <w:t xml:space="preserve">.  Depending upon the analysis required there may be a fee and co-authorship or other agreed upon recognition may be appropriate. </w:t>
      </w:r>
    </w:p>
    <w:p w14:paraId="4C01AB6D" w14:textId="77777777" w:rsidR="00314518" w:rsidRDefault="00314518" w:rsidP="00314518">
      <w:pPr>
        <w:rPr>
          <w:bCs/>
        </w:rPr>
      </w:pPr>
    </w:p>
    <w:p w14:paraId="771A4165" w14:textId="444DB7DC" w:rsidR="00314518" w:rsidRPr="00E549FA" w:rsidRDefault="00314518" w:rsidP="00314518">
      <w:pPr>
        <w:rPr>
          <w:bCs/>
        </w:rPr>
      </w:pPr>
      <w:r>
        <w:rPr>
          <w:bCs/>
        </w:rPr>
        <w:t>More detailed guidelines and procedures are provided by the Department of Pathology and should be reviewed in advance by investigators (</w:t>
      </w:r>
      <w:hyperlink r:id="rId11" w:history="1">
        <w:r w:rsidR="00AE246E">
          <w:rPr>
            <w:rStyle w:val="Hyperlink"/>
          </w:rPr>
          <w:t>https://med.uth.edu/pathology/research/</w:t>
        </w:r>
      </w:hyperlink>
      <w:r>
        <w:rPr>
          <w:bCs/>
        </w:rPr>
        <w:t xml:space="preserve">).  </w:t>
      </w:r>
    </w:p>
    <w:p w14:paraId="454BC6DD" w14:textId="77777777" w:rsidR="00314518" w:rsidRDefault="00314518" w:rsidP="00314518">
      <w:pPr>
        <w:rPr>
          <w:bCs/>
        </w:rPr>
      </w:pPr>
    </w:p>
    <w:p w14:paraId="0718D9D7" w14:textId="77777777" w:rsidR="00510722" w:rsidRDefault="00510722" w:rsidP="00F44C80">
      <w:pPr>
        <w:rPr>
          <w:b/>
        </w:rPr>
      </w:pPr>
      <w:r>
        <w:rPr>
          <w:b/>
        </w:rPr>
        <w:t>V.</w:t>
      </w:r>
      <w:r w:rsidR="00D56CA8">
        <w:rPr>
          <w:b/>
        </w:rPr>
        <w:t xml:space="preserve"> Archival Biops</w:t>
      </w:r>
      <w:r w:rsidR="00682DF8">
        <w:rPr>
          <w:b/>
        </w:rPr>
        <w:t>ies and</w:t>
      </w:r>
      <w:r w:rsidR="00D56CA8">
        <w:rPr>
          <w:b/>
        </w:rPr>
        <w:t xml:space="preserve"> </w:t>
      </w:r>
      <w:r w:rsidR="00B40BEB">
        <w:rPr>
          <w:b/>
        </w:rPr>
        <w:t>Materials</w:t>
      </w:r>
      <w:r w:rsidR="00D56CA8">
        <w:rPr>
          <w:b/>
        </w:rPr>
        <w:t xml:space="preserve"> </w:t>
      </w:r>
    </w:p>
    <w:p w14:paraId="5F69C081" w14:textId="77777777" w:rsidR="00682DF8" w:rsidRDefault="00682DF8" w:rsidP="00F44C80">
      <w:pPr>
        <w:rPr>
          <w:b/>
        </w:rPr>
      </w:pPr>
    </w:p>
    <w:p w14:paraId="770B05ED" w14:textId="44363EFB" w:rsidR="00682DF8" w:rsidRDefault="00682DF8" w:rsidP="00F44C80">
      <w:r>
        <w:t xml:space="preserve">All archival biopsies and other materials obtained for examination by pathologists for clinical care are under the control of the Department of Pathology and Laboratory Medicine of the Medical School and the relevant hospital/health care system.  Release of material for proposed research can only be done if it will not compromise routine current or future clinical care.  </w:t>
      </w:r>
      <w:r w:rsidR="00B40BEB">
        <w:t xml:space="preserve">While advances in genomics, proteomics, metabolomics, and other technologies have greatly expanded opportunities for research and diagnostic </w:t>
      </w:r>
      <w:r w:rsidR="00B40BEB">
        <w:lastRenderedPageBreak/>
        <w:t xml:space="preserve">purposes, biopsies are becoming smaller in many cases so less tissue may be available than in the past.   In addition, requests and uses of biopsies and other material must comply with some </w:t>
      </w:r>
      <w:r w:rsidR="003A3457">
        <w:t xml:space="preserve">or </w:t>
      </w:r>
      <w:r w:rsidR="00B40BEB">
        <w:t>all of the following regulations and requirements.</w:t>
      </w:r>
    </w:p>
    <w:p w14:paraId="7CEF58F8" w14:textId="77777777" w:rsidR="00B40BEB" w:rsidRDefault="00B40BEB" w:rsidP="00F44C80"/>
    <w:p w14:paraId="05351650" w14:textId="77777777" w:rsidR="00B40BEB" w:rsidRDefault="00B40BEB" w:rsidP="009F025B">
      <w:pPr>
        <w:ind w:left="720"/>
      </w:pPr>
      <w:r>
        <w:t>1.</w:t>
      </w:r>
      <w:r>
        <w:tab/>
        <w:t>CLIA (Clinical Laboratory Improvement Amendments) for accreditation of diagnostic laboratories).</w:t>
      </w:r>
    </w:p>
    <w:p w14:paraId="60A5A40C" w14:textId="77777777" w:rsidR="00B40BEB" w:rsidRDefault="00B40BEB" w:rsidP="009F025B">
      <w:pPr>
        <w:ind w:left="720"/>
      </w:pPr>
      <w:r>
        <w:t>2.</w:t>
      </w:r>
      <w:r>
        <w:tab/>
        <w:t xml:space="preserve">IRB (Institutional Review Board) for human subjects (defined as a live person(s)) research as necessary. </w:t>
      </w:r>
    </w:p>
    <w:p w14:paraId="4D9347E9" w14:textId="77777777" w:rsidR="00B40BEB" w:rsidRDefault="00B40BEB" w:rsidP="009F025B">
      <w:pPr>
        <w:ind w:left="720"/>
      </w:pPr>
      <w:r>
        <w:t>3.</w:t>
      </w:r>
      <w:r>
        <w:tab/>
        <w:t>IAORC approval for anatomical specimens if appropriate. (Anatomical specimens are human body parts, including bones and viscera, whether obtained from deceased human bodies or surgical specimens; small quantities of tissue or sections of bone or viscera are not considered to be anatomical specimens as per HOOP policy 97).</w:t>
      </w:r>
    </w:p>
    <w:p w14:paraId="263A9089" w14:textId="77777777" w:rsidR="00B40BEB" w:rsidRDefault="00B40BEB" w:rsidP="009F025B">
      <w:pPr>
        <w:ind w:left="720"/>
      </w:pPr>
      <w:r>
        <w:t>4.</w:t>
      </w:r>
      <w:r>
        <w:tab/>
        <w:t>HIPAA (Health Insurance Portability and Accountability Act), the federal law that protects personal medical information.</w:t>
      </w:r>
    </w:p>
    <w:p w14:paraId="2FC797E9" w14:textId="77777777" w:rsidR="00785AF4" w:rsidRDefault="00785AF4" w:rsidP="00B40BEB"/>
    <w:p w14:paraId="171B8BB5" w14:textId="547B3718" w:rsidR="00785AF4" w:rsidRDefault="00205182" w:rsidP="00B40BEB">
      <w:r>
        <w:t>In addition,</w:t>
      </w:r>
      <w:r w:rsidR="00785AF4">
        <w:t xml:space="preserve"> there are strict requirements for the Pathology Department and/or hospital to </w:t>
      </w:r>
      <w:r w:rsidR="00162B3B">
        <w:t xml:space="preserve">retain </w:t>
      </w:r>
      <w:r w:rsidR="00785AF4">
        <w:t xml:space="preserve">sufficient material for possible future examination for medical or other (e.g., legal review) purposes.  </w:t>
      </w:r>
      <w:r w:rsidR="00CE62D9">
        <w:t xml:space="preserve">For example, Federal law requires that a Pathology laboratory retains paraffin blocks for two years for patient care purposes and CLIA requirements in some cases stipulate that paraffin blocks used for patient diagnostic purposes be kept for as long as 10 years.  </w:t>
      </w:r>
    </w:p>
    <w:p w14:paraId="16CB4BDD" w14:textId="77777777" w:rsidR="00B40BEB" w:rsidRDefault="00B40BEB" w:rsidP="00B40BEB"/>
    <w:p w14:paraId="102A1E1A" w14:textId="58E019ED" w:rsidR="00B40BEB" w:rsidRDefault="00513568" w:rsidP="00B40BEB">
      <w:r>
        <w:t xml:space="preserve">To be fully aware of all requirements, which may be subject to change due to </w:t>
      </w:r>
      <w:r w:rsidR="00CE62D9">
        <w:t xml:space="preserve">periodically </w:t>
      </w:r>
      <w:r>
        <w:t>altered requir</w:t>
      </w:r>
      <w:r w:rsidR="00785AF4">
        <w:t>e</w:t>
      </w:r>
      <w:r>
        <w:t>ments of regulations, i</w:t>
      </w:r>
      <w:r w:rsidR="00B40BEB">
        <w:t xml:space="preserve">nvestigators should </w:t>
      </w:r>
      <w:r>
        <w:t xml:space="preserve">carefully </w:t>
      </w:r>
      <w:r w:rsidR="00B40BEB">
        <w:t xml:space="preserve">review the </w:t>
      </w:r>
      <w:r>
        <w:t xml:space="preserve">details of </w:t>
      </w:r>
      <w:r w:rsidR="00B40BEB">
        <w:t xml:space="preserve">procedures for </w:t>
      </w:r>
      <w:r>
        <w:t>obtaining</w:t>
      </w:r>
      <w:r w:rsidR="00B40BEB">
        <w:t xml:space="preserve"> </w:t>
      </w:r>
      <w:r>
        <w:t xml:space="preserve">any </w:t>
      </w:r>
      <w:r w:rsidR="00B40BEB">
        <w:t>needed approval from the Department of Pathology and Laboratory Medicine</w:t>
      </w:r>
      <w:r>
        <w:t xml:space="preserve"> (</w:t>
      </w:r>
      <w:hyperlink r:id="rId12" w:history="1">
        <w:r w:rsidR="00AE246E">
          <w:rPr>
            <w:rStyle w:val="Hyperlink"/>
          </w:rPr>
          <w:t>https://med.uth.edu/pathology/documents/2015/08/ut-research-tissue-policy.pdf</w:t>
        </w:r>
      </w:hyperlink>
      <w:r>
        <w:t xml:space="preserve">).  In general this is a two-stage process </w:t>
      </w:r>
      <w:r w:rsidR="00785AF4">
        <w:t>that involves</w:t>
      </w:r>
      <w:r>
        <w:t xml:space="preserve"> an initial</w:t>
      </w:r>
      <w:r w:rsidR="00785AF4">
        <w:t>, small number</w:t>
      </w:r>
      <w:r>
        <w:t xml:space="preserve"> of key questions to determine if pathology approval is automatic or requires a </w:t>
      </w:r>
      <w:r w:rsidR="00785AF4">
        <w:t>more complete</w:t>
      </w:r>
      <w:r>
        <w:t xml:space="preserve"> Pathology review that requires investigators to provide additional information.   </w:t>
      </w:r>
    </w:p>
    <w:p w14:paraId="3AD1837E" w14:textId="77777777" w:rsidR="00513568" w:rsidRDefault="00513568" w:rsidP="00B40BEB"/>
    <w:p w14:paraId="12AE4D85" w14:textId="77777777" w:rsidR="00326A35" w:rsidRDefault="00513568" w:rsidP="00B40BEB">
      <w:r>
        <w:t xml:space="preserve">Depending upon the </w:t>
      </w:r>
      <w:r w:rsidR="00DF01C2">
        <w:t xml:space="preserve">study and requested information/analysis certain fees may be required and some type of professional recognition may be appropriate.  </w:t>
      </w:r>
    </w:p>
    <w:p w14:paraId="43E0AB80" w14:textId="77777777" w:rsidR="000A157B" w:rsidRDefault="000A157B" w:rsidP="00B40BEB">
      <w:pPr>
        <w:pBdr>
          <w:bottom w:val="single" w:sz="12" w:space="1" w:color="auto"/>
        </w:pBdr>
      </w:pPr>
    </w:p>
    <w:p w14:paraId="1D203295" w14:textId="77777777" w:rsidR="000A157B" w:rsidRDefault="000A157B" w:rsidP="00B40BEB"/>
    <w:p w14:paraId="774132E0" w14:textId="15FD7F8B" w:rsidR="000A157B" w:rsidRDefault="000A157B" w:rsidP="00B40BEB">
      <w:r w:rsidRPr="009F025B">
        <w:rPr>
          <w:vertAlign w:val="superscript"/>
        </w:rPr>
        <w:t>1</w:t>
      </w:r>
      <w:r w:rsidRPr="009F025B">
        <w:t>Note:  The purpose of these guidelines is solely to provide information about processes, procedures, and</w:t>
      </w:r>
      <w:r w:rsidR="00B40286" w:rsidRPr="009F025B">
        <w:t xml:space="preserve"> required permissions.  It is not the purview of the IAORC to evaluate the quality or value of research or educational programs that propose to involve human subjects, anatomical specimens, teeth derived from dental procedures, material derived from autopsies, or archival biopsies or other materials.</w:t>
      </w:r>
    </w:p>
    <w:p w14:paraId="4835B501" w14:textId="77777777" w:rsidR="003D7E50" w:rsidRDefault="003D7E50" w:rsidP="00B40BEB"/>
    <w:p w14:paraId="4F6DCDDD" w14:textId="77777777" w:rsidR="003D7E50" w:rsidRDefault="003D7E50" w:rsidP="00B40BEB"/>
    <w:p w14:paraId="1B49B6C9" w14:textId="30EC8A3A" w:rsidR="00326A35" w:rsidRDefault="00326A35"/>
    <w:p w14:paraId="139BD3F6" w14:textId="6AC2A4B5" w:rsidR="00BB4BFC" w:rsidRDefault="003D7E50" w:rsidP="003D7E50">
      <w:pPr>
        <w:jc w:val="center"/>
      </w:pPr>
      <w:r>
        <w:rPr>
          <w:b/>
          <w:sz w:val="24"/>
          <w:szCs w:val="24"/>
        </w:rPr>
        <w:br/>
      </w:r>
    </w:p>
    <w:p w14:paraId="5C1F3C56" w14:textId="77777777" w:rsidR="00406D36" w:rsidRDefault="00406D36" w:rsidP="00F44C80"/>
    <w:p w14:paraId="355AA362" w14:textId="77777777" w:rsidR="00406D36" w:rsidRDefault="00406D36" w:rsidP="00F44C80"/>
    <w:p w14:paraId="713AAEE8" w14:textId="77777777" w:rsidR="00406D36" w:rsidRDefault="00406D36" w:rsidP="00F44C80"/>
    <w:p w14:paraId="7354DEFB" w14:textId="77777777" w:rsidR="00406D36" w:rsidRDefault="00406D36" w:rsidP="00F44C80"/>
    <w:sectPr w:rsidR="00406D3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B0990" w14:textId="77777777" w:rsidR="00E44955" w:rsidRDefault="00E44955" w:rsidP="00785AF4">
      <w:r>
        <w:separator/>
      </w:r>
    </w:p>
  </w:endnote>
  <w:endnote w:type="continuationSeparator" w:id="0">
    <w:p w14:paraId="0CC991E1" w14:textId="77777777" w:rsidR="00E44955" w:rsidRDefault="00E44955" w:rsidP="00785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379636"/>
      <w:docPartObj>
        <w:docPartGallery w:val="Page Numbers (Bottom of Page)"/>
        <w:docPartUnique/>
      </w:docPartObj>
    </w:sdtPr>
    <w:sdtEndPr>
      <w:rPr>
        <w:noProof/>
      </w:rPr>
    </w:sdtEndPr>
    <w:sdtContent>
      <w:p w14:paraId="65FAD5B4" w14:textId="77777777" w:rsidR="00CA515B" w:rsidRDefault="00CA515B">
        <w:pPr>
          <w:pStyle w:val="Footer"/>
          <w:jc w:val="right"/>
        </w:pPr>
        <w:r>
          <w:fldChar w:fldCharType="begin"/>
        </w:r>
        <w:r>
          <w:instrText xml:space="preserve"> PAGE   \* MERGEFORMAT </w:instrText>
        </w:r>
        <w:r>
          <w:fldChar w:fldCharType="separate"/>
        </w:r>
        <w:r w:rsidR="00451722">
          <w:rPr>
            <w:noProof/>
          </w:rPr>
          <w:t>1</w:t>
        </w:r>
        <w:r>
          <w:rPr>
            <w:noProof/>
          </w:rPr>
          <w:fldChar w:fldCharType="end"/>
        </w:r>
      </w:p>
    </w:sdtContent>
  </w:sdt>
  <w:p w14:paraId="62E54B3B" w14:textId="77777777" w:rsidR="00CA515B" w:rsidRDefault="00CA51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464BC" w14:textId="77777777" w:rsidR="00E44955" w:rsidRDefault="00E44955" w:rsidP="00785AF4">
      <w:r>
        <w:separator/>
      </w:r>
    </w:p>
  </w:footnote>
  <w:footnote w:type="continuationSeparator" w:id="0">
    <w:p w14:paraId="160E74A0" w14:textId="77777777" w:rsidR="00E44955" w:rsidRDefault="00E44955" w:rsidP="00785A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D2796" w14:textId="5201B540" w:rsidR="00785AF4" w:rsidRDefault="00785A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52D79"/>
    <w:multiLevelType w:val="hybridMultilevel"/>
    <w:tmpl w:val="7AA0D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4338F5"/>
    <w:multiLevelType w:val="hybridMultilevel"/>
    <w:tmpl w:val="99746D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AF7659"/>
    <w:multiLevelType w:val="hybridMultilevel"/>
    <w:tmpl w:val="0226C4DA"/>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ACB67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50661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0605154"/>
    <w:multiLevelType w:val="hybridMultilevel"/>
    <w:tmpl w:val="75049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97206C"/>
    <w:multiLevelType w:val="hybridMultilevel"/>
    <w:tmpl w:val="7AA0D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3C6DDB"/>
    <w:multiLevelType w:val="multilevel"/>
    <w:tmpl w:val="8472ABC0"/>
    <w:lvl w:ilvl="0">
      <w:start w:val="1"/>
      <w:numFmt w:val="decimal"/>
      <w:lvlText w:val="%1."/>
      <w:lvlJc w:val="left"/>
      <w:pPr>
        <w:tabs>
          <w:tab w:val="num" w:pos="1170"/>
        </w:tabs>
        <w:ind w:left="1170" w:hanging="360"/>
      </w:p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8">
    <w:nsid w:val="68AC4D31"/>
    <w:multiLevelType w:val="hybridMultilevel"/>
    <w:tmpl w:val="9F0ABDB0"/>
    <w:lvl w:ilvl="0" w:tplc="04090019">
      <w:start w:val="1"/>
      <w:numFmt w:val="lowerLetter"/>
      <w:lvlText w:val="%1."/>
      <w:lvlJc w:val="left"/>
      <w:pPr>
        <w:ind w:left="720" w:hanging="360"/>
      </w:pPr>
    </w:lvl>
    <w:lvl w:ilvl="1" w:tplc="9264910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8"/>
  </w:num>
  <w:num w:numId="5">
    <w:abstractNumId w:val="4"/>
  </w:num>
  <w:num w:numId="6">
    <w:abstractNumId w:val="3"/>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36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C80"/>
    <w:rsid w:val="00074745"/>
    <w:rsid w:val="00093899"/>
    <w:rsid w:val="000A157B"/>
    <w:rsid w:val="000A1887"/>
    <w:rsid w:val="000B7185"/>
    <w:rsid w:val="000C23B5"/>
    <w:rsid w:val="000F70A0"/>
    <w:rsid w:val="00141597"/>
    <w:rsid w:val="00162B3B"/>
    <w:rsid w:val="001B18EA"/>
    <w:rsid w:val="00205182"/>
    <w:rsid w:val="00207D9F"/>
    <w:rsid w:val="00312E90"/>
    <w:rsid w:val="00314518"/>
    <w:rsid w:val="00326A35"/>
    <w:rsid w:val="0035280F"/>
    <w:rsid w:val="003A3457"/>
    <w:rsid w:val="003D498C"/>
    <w:rsid w:val="003D7E50"/>
    <w:rsid w:val="003E7FDA"/>
    <w:rsid w:val="00400652"/>
    <w:rsid w:val="00406D36"/>
    <w:rsid w:val="00451722"/>
    <w:rsid w:val="00510722"/>
    <w:rsid w:val="00513568"/>
    <w:rsid w:val="00682DF8"/>
    <w:rsid w:val="006971DE"/>
    <w:rsid w:val="00785AF4"/>
    <w:rsid w:val="00805B2B"/>
    <w:rsid w:val="0083006B"/>
    <w:rsid w:val="008A01B9"/>
    <w:rsid w:val="009177E2"/>
    <w:rsid w:val="0096307D"/>
    <w:rsid w:val="009F025B"/>
    <w:rsid w:val="009F2D46"/>
    <w:rsid w:val="00A002A5"/>
    <w:rsid w:val="00AC6887"/>
    <w:rsid w:val="00AE246E"/>
    <w:rsid w:val="00B324C0"/>
    <w:rsid w:val="00B40286"/>
    <w:rsid w:val="00B40BEB"/>
    <w:rsid w:val="00B74765"/>
    <w:rsid w:val="00B84C45"/>
    <w:rsid w:val="00BB4BFC"/>
    <w:rsid w:val="00C14E4E"/>
    <w:rsid w:val="00CA515B"/>
    <w:rsid w:val="00CD7379"/>
    <w:rsid w:val="00CE62D9"/>
    <w:rsid w:val="00CF3865"/>
    <w:rsid w:val="00D56CA8"/>
    <w:rsid w:val="00D83DEB"/>
    <w:rsid w:val="00DB0296"/>
    <w:rsid w:val="00DF01C2"/>
    <w:rsid w:val="00E2733A"/>
    <w:rsid w:val="00E44955"/>
    <w:rsid w:val="00E549FA"/>
    <w:rsid w:val="00E8097C"/>
    <w:rsid w:val="00EE7A51"/>
    <w:rsid w:val="00F44C80"/>
    <w:rsid w:val="00FA3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2C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733A"/>
    <w:rPr>
      <w:color w:val="0000FF" w:themeColor="hyperlink"/>
      <w:u w:val="single"/>
    </w:rPr>
  </w:style>
  <w:style w:type="paragraph" w:styleId="Header">
    <w:name w:val="header"/>
    <w:basedOn w:val="Normal"/>
    <w:link w:val="HeaderChar"/>
    <w:uiPriority w:val="99"/>
    <w:unhideWhenUsed/>
    <w:rsid w:val="00785AF4"/>
    <w:pPr>
      <w:tabs>
        <w:tab w:val="center" w:pos="4680"/>
        <w:tab w:val="right" w:pos="9360"/>
      </w:tabs>
    </w:pPr>
  </w:style>
  <w:style w:type="character" w:customStyle="1" w:styleId="HeaderChar">
    <w:name w:val="Header Char"/>
    <w:basedOn w:val="DefaultParagraphFont"/>
    <w:link w:val="Header"/>
    <w:uiPriority w:val="99"/>
    <w:rsid w:val="00785AF4"/>
  </w:style>
  <w:style w:type="paragraph" w:styleId="Footer">
    <w:name w:val="footer"/>
    <w:basedOn w:val="Normal"/>
    <w:link w:val="FooterChar"/>
    <w:uiPriority w:val="99"/>
    <w:unhideWhenUsed/>
    <w:rsid w:val="00785AF4"/>
    <w:pPr>
      <w:tabs>
        <w:tab w:val="center" w:pos="4680"/>
        <w:tab w:val="right" w:pos="9360"/>
      </w:tabs>
    </w:pPr>
  </w:style>
  <w:style w:type="character" w:customStyle="1" w:styleId="FooterChar">
    <w:name w:val="Footer Char"/>
    <w:basedOn w:val="DefaultParagraphFont"/>
    <w:link w:val="Footer"/>
    <w:uiPriority w:val="99"/>
    <w:rsid w:val="00785AF4"/>
  </w:style>
  <w:style w:type="character" w:styleId="CommentReference">
    <w:name w:val="annotation reference"/>
    <w:basedOn w:val="DefaultParagraphFont"/>
    <w:uiPriority w:val="99"/>
    <w:semiHidden/>
    <w:unhideWhenUsed/>
    <w:rsid w:val="00162B3B"/>
    <w:rPr>
      <w:sz w:val="16"/>
      <w:szCs w:val="16"/>
    </w:rPr>
  </w:style>
  <w:style w:type="paragraph" w:styleId="CommentText">
    <w:name w:val="annotation text"/>
    <w:basedOn w:val="Normal"/>
    <w:link w:val="CommentTextChar"/>
    <w:uiPriority w:val="99"/>
    <w:semiHidden/>
    <w:unhideWhenUsed/>
    <w:rsid w:val="00162B3B"/>
    <w:rPr>
      <w:sz w:val="20"/>
      <w:szCs w:val="20"/>
    </w:rPr>
  </w:style>
  <w:style w:type="character" w:customStyle="1" w:styleId="CommentTextChar">
    <w:name w:val="Comment Text Char"/>
    <w:basedOn w:val="DefaultParagraphFont"/>
    <w:link w:val="CommentText"/>
    <w:uiPriority w:val="99"/>
    <w:semiHidden/>
    <w:rsid w:val="00162B3B"/>
    <w:rPr>
      <w:sz w:val="20"/>
      <w:szCs w:val="20"/>
    </w:rPr>
  </w:style>
  <w:style w:type="paragraph" w:styleId="CommentSubject">
    <w:name w:val="annotation subject"/>
    <w:basedOn w:val="CommentText"/>
    <w:next w:val="CommentText"/>
    <w:link w:val="CommentSubjectChar"/>
    <w:uiPriority w:val="99"/>
    <w:semiHidden/>
    <w:unhideWhenUsed/>
    <w:rsid w:val="00162B3B"/>
    <w:rPr>
      <w:b/>
      <w:bCs/>
    </w:rPr>
  </w:style>
  <w:style w:type="character" w:customStyle="1" w:styleId="CommentSubjectChar">
    <w:name w:val="Comment Subject Char"/>
    <w:basedOn w:val="CommentTextChar"/>
    <w:link w:val="CommentSubject"/>
    <w:uiPriority w:val="99"/>
    <w:semiHidden/>
    <w:rsid w:val="00162B3B"/>
    <w:rPr>
      <w:b/>
      <w:bCs/>
      <w:sz w:val="20"/>
      <w:szCs w:val="20"/>
    </w:rPr>
  </w:style>
  <w:style w:type="paragraph" w:styleId="Revision">
    <w:name w:val="Revision"/>
    <w:hidden/>
    <w:uiPriority w:val="99"/>
    <w:semiHidden/>
    <w:rsid w:val="00162B3B"/>
  </w:style>
  <w:style w:type="paragraph" w:styleId="BalloonText">
    <w:name w:val="Balloon Text"/>
    <w:basedOn w:val="Normal"/>
    <w:link w:val="BalloonTextChar"/>
    <w:uiPriority w:val="99"/>
    <w:semiHidden/>
    <w:unhideWhenUsed/>
    <w:rsid w:val="00162B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B3B"/>
    <w:rPr>
      <w:rFonts w:ascii="Segoe UI" w:hAnsi="Segoe UI" w:cs="Segoe UI"/>
      <w:sz w:val="18"/>
      <w:szCs w:val="18"/>
    </w:rPr>
  </w:style>
  <w:style w:type="paragraph" w:styleId="ListParagraph">
    <w:name w:val="List Paragraph"/>
    <w:basedOn w:val="Normal"/>
    <w:uiPriority w:val="34"/>
    <w:qFormat/>
    <w:rsid w:val="00326A35"/>
    <w:pPr>
      <w:ind w:left="720"/>
      <w:contextualSpacing/>
    </w:pPr>
    <w:rPr>
      <w:rFonts w:ascii="Times New Roman" w:eastAsia="Times New Roman" w:hAnsi="Times New Roman" w:cs="Times New Roman"/>
      <w:kern w:val="24"/>
      <w:sz w:val="20"/>
      <w:szCs w:val="20"/>
      <w14:ligatures w14:val="standar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733A"/>
    <w:rPr>
      <w:color w:val="0000FF" w:themeColor="hyperlink"/>
      <w:u w:val="single"/>
    </w:rPr>
  </w:style>
  <w:style w:type="paragraph" w:styleId="Header">
    <w:name w:val="header"/>
    <w:basedOn w:val="Normal"/>
    <w:link w:val="HeaderChar"/>
    <w:uiPriority w:val="99"/>
    <w:unhideWhenUsed/>
    <w:rsid w:val="00785AF4"/>
    <w:pPr>
      <w:tabs>
        <w:tab w:val="center" w:pos="4680"/>
        <w:tab w:val="right" w:pos="9360"/>
      </w:tabs>
    </w:pPr>
  </w:style>
  <w:style w:type="character" w:customStyle="1" w:styleId="HeaderChar">
    <w:name w:val="Header Char"/>
    <w:basedOn w:val="DefaultParagraphFont"/>
    <w:link w:val="Header"/>
    <w:uiPriority w:val="99"/>
    <w:rsid w:val="00785AF4"/>
  </w:style>
  <w:style w:type="paragraph" w:styleId="Footer">
    <w:name w:val="footer"/>
    <w:basedOn w:val="Normal"/>
    <w:link w:val="FooterChar"/>
    <w:uiPriority w:val="99"/>
    <w:unhideWhenUsed/>
    <w:rsid w:val="00785AF4"/>
    <w:pPr>
      <w:tabs>
        <w:tab w:val="center" w:pos="4680"/>
        <w:tab w:val="right" w:pos="9360"/>
      </w:tabs>
    </w:pPr>
  </w:style>
  <w:style w:type="character" w:customStyle="1" w:styleId="FooterChar">
    <w:name w:val="Footer Char"/>
    <w:basedOn w:val="DefaultParagraphFont"/>
    <w:link w:val="Footer"/>
    <w:uiPriority w:val="99"/>
    <w:rsid w:val="00785AF4"/>
  </w:style>
  <w:style w:type="character" w:styleId="CommentReference">
    <w:name w:val="annotation reference"/>
    <w:basedOn w:val="DefaultParagraphFont"/>
    <w:uiPriority w:val="99"/>
    <w:semiHidden/>
    <w:unhideWhenUsed/>
    <w:rsid w:val="00162B3B"/>
    <w:rPr>
      <w:sz w:val="16"/>
      <w:szCs w:val="16"/>
    </w:rPr>
  </w:style>
  <w:style w:type="paragraph" w:styleId="CommentText">
    <w:name w:val="annotation text"/>
    <w:basedOn w:val="Normal"/>
    <w:link w:val="CommentTextChar"/>
    <w:uiPriority w:val="99"/>
    <w:semiHidden/>
    <w:unhideWhenUsed/>
    <w:rsid w:val="00162B3B"/>
    <w:rPr>
      <w:sz w:val="20"/>
      <w:szCs w:val="20"/>
    </w:rPr>
  </w:style>
  <w:style w:type="character" w:customStyle="1" w:styleId="CommentTextChar">
    <w:name w:val="Comment Text Char"/>
    <w:basedOn w:val="DefaultParagraphFont"/>
    <w:link w:val="CommentText"/>
    <w:uiPriority w:val="99"/>
    <w:semiHidden/>
    <w:rsid w:val="00162B3B"/>
    <w:rPr>
      <w:sz w:val="20"/>
      <w:szCs w:val="20"/>
    </w:rPr>
  </w:style>
  <w:style w:type="paragraph" w:styleId="CommentSubject">
    <w:name w:val="annotation subject"/>
    <w:basedOn w:val="CommentText"/>
    <w:next w:val="CommentText"/>
    <w:link w:val="CommentSubjectChar"/>
    <w:uiPriority w:val="99"/>
    <w:semiHidden/>
    <w:unhideWhenUsed/>
    <w:rsid w:val="00162B3B"/>
    <w:rPr>
      <w:b/>
      <w:bCs/>
    </w:rPr>
  </w:style>
  <w:style w:type="character" w:customStyle="1" w:styleId="CommentSubjectChar">
    <w:name w:val="Comment Subject Char"/>
    <w:basedOn w:val="CommentTextChar"/>
    <w:link w:val="CommentSubject"/>
    <w:uiPriority w:val="99"/>
    <w:semiHidden/>
    <w:rsid w:val="00162B3B"/>
    <w:rPr>
      <w:b/>
      <w:bCs/>
      <w:sz w:val="20"/>
      <w:szCs w:val="20"/>
    </w:rPr>
  </w:style>
  <w:style w:type="paragraph" w:styleId="Revision">
    <w:name w:val="Revision"/>
    <w:hidden/>
    <w:uiPriority w:val="99"/>
    <w:semiHidden/>
    <w:rsid w:val="00162B3B"/>
  </w:style>
  <w:style w:type="paragraph" w:styleId="BalloonText">
    <w:name w:val="Balloon Text"/>
    <w:basedOn w:val="Normal"/>
    <w:link w:val="BalloonTextChar"/>
    <w:uiPriority w:val="99"/>
    <w:semiHidden/>
    <w:unhideWhenUsed/>
    <w:rsid w:val="00162B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B3B"/>
    <w:rPr>
      <w:rFonts w:ascii="Segoe UI" w:hAnsi="Segoe UI" w:cs="Segoe UI"/>
      <w:sz w:val="18"/>
      <w:szCs w:val="18"/>
    </w:rPr>
  </w:style>
  <w:style w:type="paragraph" w:styleId="ListParagraph">
    <w:name w:val="List Paragraph"/>
    <w:basedOn w:val="Normal"/>
    <w:uiPriority w:val="34"/>
    <w:qFormat/>
    <w:rsid w:val="00326A35"/>
    <w:pPr>
      <w:ind w:left="720"/>
      <w:contextualSpacing/>
    </w:pPr>
    <w:rPr>
      <w:rFonts w:ascii="Times New Roman" w:eastAsia="Times New Roman" w:hAnsi="Times New Roman" w:cs="Times New Roman"/>
      <w:kern w:val="24"/>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311193">
      <w:bodyDiv w:val="1"/>
      <w:marLeft w:val="0"/>
      <w:marRight w:val="0"/>
      <w:marTop w:val="0"/>
      <w:marBottom w:val="0"/>
      <w:divBdr>
        <w:top w:val="none" w:sz="0" w:space="0" w:color="auto"/>
        <w:left w:val="none" w:sz="0" w:space="0" w:color="auto"/>
        <w:bottom w:val="none" w:sz="0" w:space="0" w:color="auto"/>
        <w:right w:val="none" w:sz="0" w:space="0" w:color="auto"/>
      </w:divBdr>
    </w:div>
    <w:div w:id="105134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h.edu/CPHS/"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med.uth.edu/pathology/documents/2015/08/ut-research-tissue-policy.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ed.uth.edu/pathology/resear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ed.uth.edu/pathology/files/2013/08/66466-Postmortem-Examination-or-Autopsy-Consent-Form.pdf" TargetMode="External"/><Relationship Id="rId4" Type="http://schemas.openxmlformats.org/officeDocument/2006/relationships/settings" Target="settings.xml"/><Relationship Id="rId9" Type="http://schemas.openxmlformats.org/officeDocument/2006/relationships/hyperlink" Target="https://med.uth.edu/nba/willed-body-program/iaor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9189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Stancel, George M</dc:creator>
  <cp:lastModifiedBy>Dixon, Amy P.</cp:lastModifiedBy>
  <cp:revision>2</cp:revision>
  <cp:lastPrinted>2016-03-07T15:26:00Z</cp:lastPrinted>
  <dcterms:created xsi:type="dcterms:W3CDTF">2016-06-09T15:14:00Z</dcterms:created>
  <dcterms:modified xsi:type="dcterms:W3CDTF">2016-06-09T15:14:00Z</dcterms:modified>
</cp:coreProperties>
</file>